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66E6B" w:rsidRPr="00766E6B">
        <w:rPr>
          <w:sz w:val="28"/>
        </w:rPr>
        <w:t>Werbelotterie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66E6B" w:rsidRPr="00013049" w:rsidTr="00766E6B">
        <w:tc>
          <w:tcPr>
            <w:tcW w:w="2466" w:type="dxa"/>
            <w:vAlign w:val="center"/>
          </w:tcPr>
          <w:p w:rsidR="00766E6B" w:rsidRPr="00013049" w:rsidRDefault="00766E6B" w:rsidP="005C2F82">
            <w:pPr>
              <w:pStyle w:val="IQB-Merkmal"/>
              <w:rPr>
                <w:sz w:val="22"/>
              </w:rPr>
            </w:pPr>
            <w:r w:rsidRPr="00013049">
              <w:rPr>
                <w:sz w:val="22"/>
              </w:rPr>
              <w:t>Leitidee</w:t>
            </w:r>
          </w:p>
        </w:tc>
        <w:tc>
          <w:tcPr>
            <w:tcW w:w="6604" w:type="dxa"/>
          </w:tcPr>
          <w:p w:rsidR="00766E6B" w:rsidRPr="00013049" w:rsidRDefault="00766E6B" w:rsidP="005C2F82">
            <w:pPr>
              <w:pStyle w:val="IQB-Merkmalswert"/>
              <w:rPr>
                <w:sz w:val="22"/>
                <w:szCs w:val="22"/>
              </w:rPr>
            </w:pPr>
            <w:r w:rsidRPr="00013049">
              <w:rPr>
                <w:sz w:val="22"/>
                <w:szCs w:val="22"/>
              </w:rPr>
              <w:t>Daten und Zufall (L5)</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766E6B" w:rsidRDefault="00766E6B" w:rsidP="005C2F82">
            <w:pPr>
              <w:pStyle w:val="IQB-Merkmalswert"/>
              <w:rPr>
                <w:sz w:val="22"/>
                <w:szCs w:val="22"/>
              </w:rPr>
            </w:pPr>
            <w:r>
              <w:rPr>
                <w:sz w:val="22"/>
                <w:szCs w:val="22"/>
              </w:rPr>
              <w:t>Mathematisch modellieren</w:t>
            </w:r>
            <w:r w:rsidRPr="00013049">
              <w:rPr>
                <w:sz w:val="22"/>
                <w:szCs w:val="22"/>
              </w:rPr>
              <w:t xml:space="preserve"> (K</w:t>
            </w:r>
            <w:r>
              <w:rPr>
                <w:sz w:val="22"/>
                <w:szCs w:val="22"/>
              </w:rPr>
              <w:t>3)</w:t>
            </w:r>
          </w:p>
          <w:p w:rsidR="00766E6B" w:rsidRDefault="00766E6B" w:rsidP="005C2F82">
            <w:pPr>
              <w:pStyle w:val="IQB-Merkmalswert"/>
              <w:rPr>
                <w:sz w:val="22"/>
                <w:szCs w:val="22"/>
              </w:rPr>
            </w:pPr>
            <w:r>
              <w:rPr>
                <w:sz w:val="22"/>
                <w:szCs w:val="22"/>
              </w:rPr>
              <w:t>Mathematische Darstellungen verwenden (K4)</w:t>
            </w:r>
          </w:p>
          <w:p w:rsidR="00766E6B" w:rsidRPr="00013049" w:rsidRDefault="00766E6B" w:rsidP="005C2F82">
            <w:pPr>
              <w:pStyle w:val="IQB-Merkmalswert"/>
              <w:rPr>
                <w:sz w:val="22"/>
                <w:szCs w:val="22"/>
              </w:rPr>
            </w:pPr>
            <w:r w:rsidRPr="00013049">
              <w:rPr>
                <w:sz w:val="22"/>
                <w:szCs w:val="22"/>
              </w:rPr>
              <w:t>Mit symbolischen, formalen und technischen Elementen der M</w:t>
            </w:r>
            <w:r w:rsidRPr="00013049">
              <w:rPr>
                <w:sz w:val="22"/>
                <w:szCs w:val="22"/>
              </w:rPr>
              <w:t>a</w:t>
            </w:r>
            <w:r w:rsidRPr="00013049">
              <w:rPr>
                <w:sz w:val="22"/>
                <w:szCs w:val="22"/>
              </w:rPr>
              <w:t>thematik umg</w:t>
            </w:r>
            <w:r w:rsidRPr="00013049">
              <w:rPr>
                <w:sz w:val="22"/>
                <w:szCs w:val="22"/>
              </w:rPr>
              <w:t>e</w:t>
            </w:r>
            <w:r w:rsidRPr="00013049">
              <w:rPr>
                <w:sz w:val="22"/>
                <w:szCs w:val="22"/>
              </w:rPr>
              <w:t>hen (K5)</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Anforderungsbereich</w:t>
            </w:r>
          </w:p>
        </w:tc>
        <w:tc>
          <w:tcPr>
            <w:tcW w:w="6604" w:type="dxa"/>
          </w:tcPr>
          <w:p w:rsidR="00766E6B" w:rsidRPr="00013049" w:rsidRDefault="00766E6B" w:rsidP="005C2F82">
            <w:pPr>
              <w:pStyle w:val="IQB-Merkmalswert"/>
              <w:rPr>
                <w:sz w:val="22"/>
                <w:szCs w:val="22"/>
              </w:rPr>
            </w:pPr>
            <w:r w:rsidRPr="00013049">
              <w:rPr>
                <w:sz w:val="22"/>
                <w:szCs w:val="22"/>
              </w:rPr>
              <w:t>II</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Kompetenzstufe</w:t>
            </w:r>
          </w:p>
        </w:tc>
        <w:tc>
          <w:tcPr>
            <w:tcW w:w="6604" w:type="dxa"/>
          </w:tcPr>
          <w:p w:rsidR="00766E6B" w:rsidRPr="00013049" w:rsidRDefault="00766E6B" w:rsidP="005C2F82">
            <w:pPr>
              <w:pStyle w:val="IQB-Merkmalswert"/>
              <w:rPr>
                <w:sz w:val="22"/>
                <w:szCs w:val="22"/>
              </w:rPr>
            </w:pPr>
            <w:r w:rsidRPr="00013049">
              <w:rPr>
                <w:sz w:val="22"/>
                <w:szCs w:val="22"/>
              </w:rPr>
              <w:t>5</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66E6B" w:rsidRPr="00013049" w:rsidTr="00766E6B">
        <w:tc>
          <w:tcPr>
            <w:tcW w:w="2466" w:type="dxa"/>
            <w:vAlign w:val="center"/>
          </w:tcPr>
          <w:p w:rsidR="00766E6B" w:rsidRPr="00013049" w:rsidRDefault="00766E6B" w:rsidP="005C2F82">
            <w:pPr>
              <w:pStyle w:val="IQB-Merkmal"/>
              <w:rPr>
                <w:sz w:val="22"/>
              </w:rPr>
            </w:pPr>
            <w:r w:rsidRPr="00013049">
              <w:rPr>
                <w:sz w:val="22"/>
              </w:rPr>
              <w:t>Leitidee</w:t>
            </w:r>
          </w:p>
        </w:tc>
        <w:tc>
          <w:tcPr>
            <w:tcW w:w="6604" w:type="dxa"/>
          </w:tcPr>
          <w:p w:rsidR="00766E6B" w:rsidRPr="00013049" w:rsidRDefault="00766E6B" w:rsidP="005C2F82">
            <w:pPr>
              <w:pStyle w:val="IQB-Merkmalswert"/>
              <w:rPr>
                <w:sz w:val="22"/>
                <w:szCs w:val="22"/>
              </w:rPr>
            </w:pPr>
            <w:r w:rsidRPr="00013049">
              <w:rPr>
                <w:sz w:val="22"/>
                <w:szCs w:val="22"/>
              </w:rPr>
              <w:t>Daten und Zufall (L5)</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766E6B" w:rsidRDefault="00766E6B" w:rsidP="005C2F82">
            <w:pPr>
              <w:pStyle w:val="IQB-Merkmalswert"/>
              <w:rPr>
                <w:sz w:val="22"/>
                <w:szCs w:val="22"/>
              </w:rPr>
            </w:pPr>
            <w:r>
              <w:rPr>
                <w:sz w:val="22"/>
                <w:szCs w:val="22"/>
              </w:rPr>
              <w:t>Mathematisch modellieren (K3)</w:t>
            </w:r>
          </w:p>
          <w:p w:rsidR="00766E6B" w:rsidRDefault="00766E6B" w:rsidP="005C2F82">
            <w:pPr>
              <w:pStyle w:val="IQB-Merkmalswert"/>
              <w:rPr>
                <w:sz w:val="22"/>
                <w:szCs w:val="22"/>
              </w:rPr>
            </w:pPr>
            <w:r>
              <w:rPr>
                <w:sz w:val="22"/>
                <w:szCs w:val="22"/>
              </w:rPr>
              <w:t>Mathematische Darstellungen verwenden (K4)</w:t>
            </w:r>
          </w:p>
          <w:p w:rsidR="00766E6B" w:rsidRPr="00013049" w:rsidRDefault="00766E6B" w:rsidP="005C2F82">
            <w:pPr>
              <w:pStyle w:val="IQB-Merkmalswert"/>
              <w:rPr>
                <w:sz w:val="22"/>
                <w:szCs w:val="22"/>
              </w:rPr>
            </w:pPr>
            <w:r w:rsidRPr="00013049">
              <w:rPr>
                <w:sz w:val="22"/>
                <w:szCs w:val="22"/>
              </w:rPr>
              <w:t>Mit symbolischen, formalen und technischen Elementen der M</w:t>
            </w:r>
            <w:r w:rsidRPr="00013049">
              <w:rPr>
                <w:sz w:val="22"/>
                <w:szCs w:val="22"/>
              </w:rPr>
              <w:t>a</w:t>
            </w:r>
            <w:r w:rsidRPr="00013049">
              <w:rPr>
                <w:sz w:val="22"/>
                <w:szCs w:val="22"/>
              </w:rPr>
              <w:t>thematik umg</w:t>
            </w:r>
            <w:r w:rsidRPr="00013049">
              <w:rPr>
                <w:sz w:val="22"/>
                <w:szCs w:val="22"/>
              </w:rPr>
              <w:t>e</w:t>
            </w:r>
            <w:r w:rsidRPr="00013049">
              <w:rPr>
                <w:sz w:val="22"/>
                <w:szCs w:val="22"/>
              </w:rPr>
              <w:t>hen (K5)</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Anforderungsbereich</w:t>
            </w:r>
          </w:p>
        </w:tc>
        <w:tc>
          <w:tcPr>
            <w:tcW w:w="6604" w:type="dxa"/>
          </w:tcPr>
          <w:p w:rsidR="00766E6B" w:rsidRPr="00013049" w:rsidRDefault="00766E6B" w:rsidP="005C2F82">
            <w:pPr>
              <w:pStyle w:val="IQB-Merkmalswert"/>
              <w:rPr>
                <w:sz w:val="22"/>
                <w:szCs w:val="22"/>
              </w:rPr>
            </w:pPr>
            <w:r w:rsidRPr="00013049">
              <w:rPr>
                <w:sz w:val="22"/>
                <w:szCs w:val="22"/>
              </w:rPr>
              <w:t>II</w:t>
            </w:r>
          </w:p>
        </w:tc>
      </w:tr>
      <w:tr w:rsidR="00766E6B" w:rsidRPr="00013049" w:rsidTr="00766E6B">
        <w:tc>
          <w:tcPr>
            <w:tcW w:w="2466" w:type="dxa"/>
            <w:vAlign w:val="center"/>
          </w:tcPr>
          <w:p w:rsidR="00766E6B" w:rsidRPr="00013049" w:rsidRDefault="00766E6B" w:rsidP="005C2F82">
            <w:pPr>
              <w:pStyle w:val="IQB-Merkmal"/>
              <w:rPr>
                <w:sz w:val="22"/>
              </w:rPr>
            </w:pPr>
            <w:r w:rsidRPr="00013049">
              <w:rPr>
                <w:sz w:val="22"/>
              </w:rPr>
              <w:t>Kompetenzstufe</w:t>
            </w:r>
          </w:p>
        </w:tc>
        <w:tc>
          <w:tcPr>
            <w:tcW w:w="6604" w:type="dxa"/>
          </w:tcPr>
          <w:p w:rsidR="00766E6B" w:rsidRPr="00013049" w:rsidRDefault="00766E6B" w:rsidP="005C2F82">
            <w:pPr>
              <w:pStyle w:val="IQB-Merkmalswert"/>
              <w:rPr>
                <w:sz w:val="22"/>
                <w:szCs w:val="22"/>
              </w:rPr>
            </w:pPr>
            <w:r w:rsidRPr="00013049">
              <w:rPr>
                <w:sz w:val="22"/>
                <w:szCs w:val="22"/>
              </w:rPr>
              <w:t>5</w:t>
            </w:r>
          </w:p>
        </w:tc>
      </w:tr>
    </w:tbl>
    <w:p w:rsidR="00694A63" w:rsidRPr="00694A63" w:rsidRDefault="00694A63" w:rsidP="00694A63">
      <w:pPr>
        <w:pStyle w:val="IQB-Teilaufgabentitel"/>
        <w:rPr>
          <w:b/>
        </w:rPr>
      </w:pPr>
      <w:r w:rsidRPr="00694A63">
        <w:rPr>
          <w:b/>
        </w:rPr>
        <w:t>Aufgabenbezogener Kommentar</w:t>
      </w:r>
    </w:p>
    <w:p w:rsidR="00766E6B" w:rsidRPr="00766E6B" w:rsidRDefault="00766E6B" w:rsidP="00766E6B">
      <w:pPr>
        <w:jc w:val="both"/>
        <w:rPr>
          <w:rFonts w:ascii="Arial" w:hAnsi="Arial"/>
          <w:sz w:val="22"/>
          <w:szCs w:val="22"/>
        </w:rPr>
      </w:pPr>
      <w:r w:rsidRPr="00766E6B">
        <w:rPr>
          <w:rFonts w:ascii="Arial" w:hAnsi="Arial"/>
          <w:sz w:val="22"/>
          <w:szCs w:val="22"/>
        </w:rPr>
        <w:t xml:space="preserve">Die Aufgabe „Werbelotterie“ wird, da Zufallsexperimente Gegenstand der Betrachtung sind, der Leitidee </w:t>
      </w:r>
      <w:r w:rsidRPr="00766E6B">
        <w:rPr>
          <w:rFonts w:ascii="Arial" w:hAnsi="Arial"/>
          <w:i/>
          <w:sz w:val="22"/>
          <w:szCs w:val="22"/>
        </w:rPr>
        <w:t>Daten und Zufall</w:t>
      </w:r>
      <w:r w:rsidRPr="00766E6B">
        <w:rPr>
          <w:rFonts w:ascii="Arial" w:hAnsi="Arial"/>
          <w:sz w:val="22"/>
          <w:szCs w:val="22"/>
        </w:rPr>
        <w:t> (L5) zugeordnet.</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 xml:space="preserve">In beiden Teilaufgaben werden dieselben Kompetenzen verlangt. Schülerinnen und Schüler müssen zur Berechnung der gesuchten Wahrscheinlichkeiten ein geeignetes mathematisches Wahrscheinlichkeitsmodell zur Beschreibung der Sachsituation auswählen. Daher wird die Kompetenz </w:t>
      </w:r>
      <w:r w:rsidRPr="00766E6B">
        <w:rPr>
          <w:rFonts w:ascii="Arial" w:hAnsi="Arial"/>
          <w:i/>
          <w:sz w:val="22"/>
          <w:szCs w:val="22"/>
        </w:rPr>
        <w:t>Mathematisch modellieren</w:t>
      </w:r>
      <w:r w:rsidRPr="00766E6B">
        <w:rPr>
          <w:rFonts w:ascii="Arial" w:hAnsi="Arial"/>
          <w:sz w:val="22"/>
          <w:szCs w:val="22"/>
        </w:rPr>
        <w:t xml:space="preserve"> (K3) vorausgesetzt. Das Kürzel „TAA“ ist eine besondere Darstellung eines Ereignisses. Somit wird die Kompetenz </w:t>
      </w:r>
      <w:r w:rsidRPr="00766E6B">
        <w:rPr>
          <w:rFonts w:ascii="Arial" w:hAnsi="Arial"/>
          <w:i/>
          <w:sz w:val="22"/>
          <w:szCs w:val="22"/>
        </w:rPr>
        <w:t>Mathematische Darstellungen verwenden</w:t>
      </w:r>
      <w:r w:rsidRPr="00766E6B">
        <w:rPr>
          <w:rFonts w:ascii="Arial" w:hAnsi="Arial"/>
          <w:sz w:val="22"/>
          <w:szCs w:val="22"/>
        </w:rPr>
        <w:t xml:space="preserve"> (K4) benötigt. Die Berechnung der Wahrscheinlichkeiten mithilfe der ersten Pfadregel erfordert die Kompetenz </w:t>
      </w:r>
      <w:r w:rsidRPr="00766E6B">
        <w:rPr>
          <w:rFonts w:ascii="Arial" w:hAnsi="Arial"/>
          <w:i/>
          <w:sz w:val="22"/>
          <w:szCs w:val="22"/>
        </w:rPr>
        <w:t>Mit symbolischen, formalen und technischen Elementen der Mathematik umzugehen</w:t>
      </w:r>
      <w:r w:rsidRPr="00766E6B">
        <w:rPr>
          <w:rFonts w:ascii="Arial" w:hAnsi="Arial"/>
          <w:sz w:val="22"/>
          <w:szCs w:val="22"/>
        </w:rPr>
        <w:t> (K5).</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Wegen der mehrstufigen Rechenschritte und der Vielzahl beteiligter Kompetenzen werden beide Teilaufgaben dem Anforderungsbereich II zugeordnet.</w:t>
      </w:r>
    </w:p>
    <w:p w:rsidR="00694A63" w:rsidRPr="00694A63" w:rsidRDefault="00694A63" w:rsidP="00694A63">
      <w:pPr>
        <w:pStyle w:val="IQB-Teilaufgabentitel"/>
        <w:rPr>
          <w:b/>
        </w:rPr>
      </w:pPr>
      <w:r w:rsidRPr="00694A63">
        <w:rPr>
          <w:b/>
        </w:rPr>
        <w:t>Anregungen für den Unterricht</w:t>
      </w:r>
    </w:p>
    <w:p w:rsidR="00766E6B" w:rsidRPr="00766E6B" w:rsidRDefault="00766E6B" w:rsidP="00766E6B">
      <w:pPr>
        <w:jc w:val="both"/>
        <w:rPr>
          <w:rFonts w:ascii="Arial" w:hAnsi="Arial"/>
          <w:sz w:val="22"/>
          <w:szCs w:val="22"/>
        </w:rPr>
      </w:pPr>
      <w:r w:rsidRPr="00766E6B">
        <w:rPr>
          <w:rFonts w:ascii="Arial" w:hAnsi="Arial"/>
          <w:sz w:val="22"/>
          <w:szCs w:val="22"/>
        </w:rPr>
        <w:t xml:space="preserve">Zur Berechnung von Wahrscheinlichkeiten in Sachsituationen greifen Schülerinnen und Schüler auf Standardmodelle der Wahrscheinlichkeitsrechnung zurück. In diesem Sinne erfordert das Berechnen von Wahrscheinlichkeiten immer die Kompetenz </w:t>
      </w:r>
      <w:r w:rsidRPr="00766E6B">
        <w:rPr>
          <w:rFonts w:ascii="Arial" w:hAnsi="Arial"/>
          <w:i/>
          <w:sz w:val="22"/>
          <w:szCs w:val="22"/>
        </w:rPr>
        <w:t>Mathematisch modellieren</w:t>
      </w:r>
      <w:r w:rsidRPr="00766E6B">
        <w:rPr>
          <w:rFonts w:ascii="Arial" w:hAnsi="Arial"/>
          <w:sz w:val="22"/>
          <w:szCs w:val="22"/>
        </w:rPr>
        <w:t> (K3) zumindest im Anforderungsbereich I. Nach den Beschlüssen der Kultusministerkonferenz zu den Bildungsstandards im Fach Mathematik für den Mittleren Schulabschluss (Beschluss vom 4.12.2003) gehört es zum mathematischen Modellieren im Anforderungsbereich I „vertraute und direkt erkennbare Modelle [zu] nutzen“ (ebd., S. 14). Solche Modelle sind z. B. die bekannten Abzählverfahren aus der Kombinatorik. Schülerinnen und Schüle entscheiden z. B., ob eine Sachsituation einer Permutation, einer Variation oder einer Kombination ähnelt.</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 xml:space="preserve">Jedoch gibt es auch Einwände dagegen, solche Aufgaben als „echte“ Modellierungen zu betrachten. So gelten Modellierungsaufgaben im Mathematikunterricht dann als gelungen, wenn sie in gewisser Hinsicht offen sind. Das kann bedeuten, dass die Ausgangssituation nicht vollständig klar ist bzw. Annahmen und Abschätzungen zu bestimmten Größen vorgenommen werden müssen. Oder der Weg zur Lösung ist offen, d. h. es können unterschiedliche mathematische Modelle entwickelt </w:t>
      </w:r>
      <w:r w:rsidRPr="00766E6B">
        <w:rPr>
          <w:rFonts w:ascii="Arial" w:hAnsi="Arial"/>
          <w:sz w:val="22"/>
          <w:szCs w:val="22"/>
        </w:rPr>
        <w:lastRenderedPageBreak/>
        <w:t xml:space="preserve">werden, um ein Problem zu lösen. Weiterhin sind Modellierungsaufgaben meist auch im Ergebnis offen. Es wird eine Bandbreite an möglichen Lösungen zugelassen. Aufgaben zur Wahrscheinlichkeitsrechnung, wie auch die Aufgabe „Werbelotterie“, sind hingegen meist eher geschlossene Aufgaben. Sowohl die Ausgangssituation als auch der Weg und das Ziel der Aufgabe sind eindeutig. Weiterhin sollen Modellierungsaufgaben relevant und lebensnah sein. Hier kommt es wohl ausdrücklich darauf an, ob Schülerinnen und Schüler eine Affinität zu diesem Kontext haben. Eine übermäßige Fokussierung auf den Kontext Glücksspiele im Unterricht zur Wahrscheinlichkeitsrechnung sollte demnach vermieden werden. Eine weitere Schwierigkeit zeigt sich, wenn man derlei Aufgaben aus der Wahrscheinlichkeitsrechnung zu den Modellierungsproblemen zählen möchte. Glücksräder, Würfel oder das Ziehen von Kugeln aus einer Urne sind bekannte Gegenstände, die unter dem Gesichtspunkt der Wahrscheinlichkeit betrachtet werden. Der Kontext Glücksspiel verlangt es in der Regel, dass a priori Wahrscheinlichkeiten festgelegt werden (z. B. möchte ein Anbieter eines Glücksspiels vorher wissen, wie hoch die Gewinnwahrscheinlichkeiten sind). Glücksräder, Würfel und Urnen sind hier also Ergebnis einer vorangegangenen normativen Modellierung. Wenn Schülerinnen und Schüler anschließend mit diesen Gegenständen konfrontiert werden, beschreiben sie demnach ein Modell, das bereits in diese Gegenstände eingegangen ist. Das Modell wird sozusagen bloß ein zweites Mal durchdacht. </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 xml:space="preserve">Um auch im Unterricht zur Wahrscheinlichkeitsrechnung Modellierungsaufgaben zu bearbeiten, die diesen Kriterien genügen, sollten also andere Kontexte herangezogen werden. Hierzu eine Aufgabe als Beispiel: </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i/>
          <w:sz w:val="22"/>
          <w:szCs w:val="22"/>
        </w:rPr>
      </w:pPr>
      <w:r w:rsidRPr="00766E6B">
        <w:rPr>
          <w:rFonts w:ascii="Arial" w:hAnsi="Arial"/>
          <w:i/>
          <w:sz w:val="22"/>
          <w:szCs w:val="22"/>
        </w:rPr>
        <w:t>„Till will Werbemüll (Spam) von seinem E-Mail-Konto aussperren. Er installiert den von einer Computerzeitschrift ermittelten Testsieger, der 95</w:t>
      </w:r>
      <w:r w:rsidRPr="00766E6B">
        <w:rPr>
          <w:rFonts w:ascii="Arial" w:hAnsi="Arial"/>
          <w:i/>
          <w:w w:val="50"/>
          <w:sz w:val="22"/>
          <w:szCs w:val="22"/>
        </w:rPr>
        <w:t> </w:t>
      </w:r>
      <w:r w:rsidRPr="00766E6B">
        <w:rPr>
          <w:rFonts w:ascii="Arial" w:hAnsi="Arial"/>
          <w:i/>
          <w:sz w:val="22"/>
          <w:szCs w:val="22"/>
        </w:rPr>
        <w:t>% aller Werbemails ausfiltert. Leider sortiert das Programm auch 1 % aller privaten E-Mails und von Till bestellten Infobriefe als Spam aus. Beurteile die Qualität des Spamfilters.</w:t>
      </w:r>
    </w:p>
    <w:p w:rsidR="00766E6B" w:rsidRPr="00766E6B" w:rsidRDefault="00766E6B" w:rsidP="00766E6B">
      <w:pPr>
        <w:jc w:val="both"/>
        <w:rPr>
          <w:rFonts w:ascii="Arial" w:hAnsi="Arial"/>
          <w:sz w:val="22"/>
          <w:szCs w:val="22"/>
        </w:rPr>
      </w:pPr>
      <w:r w:rsidRPr="00766E6B">
        <w:rPr>
          <w:rFonts w:ascii="Arial" w:hAnsi="Arial"/>
          <w:i/>
          <w:sz w:val="22"/>
          <w:szCs w:val="22"/>
        </w:rPr>
        <w:t xml:space="preserve">Würdest Du ihn benutzen?“ </w:t>
      </w:r>
      <w:r w:rsidRPr="00766E6B">
        <w:rPr>
          <w:rFonts w:ascii="Arial" w:hAnsi="Arial"/>
          <w:sz w:val="22"/>
          <w:szCs w:val="22"/>
        </w:rPr>
        <w:t>(H. Wirths: Vom Rückwärtsschließen in Baumdiagrammen zum Testen von Hypothesen, in: Stochastik in der Schule 25/2, 2005, S. 4)</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Wir haben es hier mit einem lebensnahen und relevanten Problem zu tun. Niemand möchte Spam-Mails erhalten, vor allem nicht, wenn damit kriminelle Absichten verbunden sind (Stichwort: Phishing). Gleichzeitig ist es sehr ärgerlich, wenn man wichtige E-Mails nicht wahrnimmt, weil sie in den Ordner für Spam-Mails verschoben wurden. Die Aufgabe ist im Ergebnis offen, da es letztlich eine Frage eigener Vorlieben ist, ab welcher Erfolgsquote man ein solches Programm einsetzt oder lieber darauf verzichtet. Viel wichtiger ist jedoch, dass die Aufgabe bereits in der Ausgangssituation offen ist. Nach welchen Kriterien soll man eine solche Empfehlung aussprechen? Zwei Fragestellungen können als Hilfe dienen, 1. „Mit welcher Wahrscheinlichkeit ist eine aussortierte E-Mail kein Spam?“ (ich verpasse wichtige Nachrichten) und 2. „Mit welcher Wahrscheinlichkeit ist eine nicht-aussortierte E-Mail Spam?“ (mich nerven Werbung und Phishing-Versuche). Die Situation kann mithilfe eines zweistufigen Baumdiagramms beschrieben werden. Dabei ist unklar, wie viel Prozent der eingehenden E-Mails Spam-Mails sind. Die Schülerinnen und Schüler könnten diese Wahrscheinlichkeit als Variable einführen und beispielsweise mit Funktionsgraphen die beiden genannten Wahrscheinlichkeiten in Abhängigkeit davon darstellen.</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 xml:space="preserve">Dieses Modellierungsproblem setzt ein </w:t>
      </w:r>
      <w:proofErr w:type="spellStart"/>
      <w:r w:rsidRPr="00766E6B">
        <w:rPr>
          <w:rFonts w:ascii="Arial" w:hAnsi="Arial"/>
          <w:sz w:val="22"/>
          <w:szCs w:val="22"/>
        </w:rPr>
        <w:t>frequentistisches</w:t>
      </w:r>
      <w:proofErr w:type="spellEnd"/>
      <w:r w:rsidRPr="00766E6B">
        <w:rPr>
          <w:rFonts w:ascii="Arial" w:hAnsi="Arial"/>
          <w:sz w:val="22"/>
          <w:szCs w:val="22"/>
        </w:rPr>
        <w:t xml:space="preserve"> Verständnis von Wahrscheinlichkeiten voraus. Hier werden die relativen Häufigkeiten, dass eine eingehende E-Mail eine Spam-Mail ist und dass der Spam-Filter eine E-Mail aussortiert, als Wahrscheinlichkeiten interpretiert. Um eine Vorstellung zu bekommen: Im Jahr 2015 waren mehr als die Hälfte der verschickten E-Mails auf der Welt Spam-Mails. Wenige Jahre davor lag die Rate sogar bei über 90</w:t>
      </w:r>
      <w:r w:rsidRPr="00766E6B">
        <w:rPr>
          <w:rFonts w:ascii="Arial" w:hAnsi="Arial"/>
          <w:w w:val="50"/>
          <w:sz w:val="22"/>
          <w:szCs w:val="22"/>
        </w:rPr>
        <w:t> </w:t>
      </w:r>
      <w:r w:rsidRPr="00766E6B">
        <w:rPr>
          <w:rFonts w:ascii="Arial" w:hAnsi="Arial"/>
          <w:sz w:val="22"/>
          <w:szCs w:val="22"/>
        </w:rPr>
        <w:t xml:space="preserve">% (Quelle: „Mit diesen Tools bleiben Outlook, Thunderbird, Mail &amp; Co. sauber“ PC Magazin vom 04.03.2015 von Bernhard </w:t>
      </w:r>
      <w:proofErr w:type="spellStart"/>
      <w:r w:rsidRPr="00766E6B">
        <w:rPr>
          <w:rFonts w:ascii="Arial" w:hAnsi="Arial"/>
          <w:sz w:val="22"/>
          <w:szCs w:val="22"/>
        </w:rPr>
        <w:t>Münkel</w:t>
      </w:r>
      <w:proofErr w:type="spellEnd"/>
      <w:r w:rsidRPr="00766E6B">
        <w:rPr>
          <w:rFonts w:ascii="Arial" w:hAnsi="Arial"/>
          <w:sz w:val="22"/>
          <w:szCs w:val="22"/>
        </w:rPr>
        <w:t>). Die persönliche Rate empfangener Spam-Mails kann natürlich deutlich darunterliegen. Sie ist auch vom Nutzerverhalten und vom Umgang mit der eigenen E-Mailadresse abhängig. So wird jemand, der seine E-Mail-Adresse öffentlich macht vermutlich mehr Spam-Mails erhalten als jemand der sie nur an wenige Freunde weitergereicht hat. Auch solche Überlegungen können in diese Modellierung einfließen.</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lastRenderedPageBreak/>
        <w:t xml:space="preserve">Ein weiterer interessanter Punkt besteht darin, dass heutzutage viele Spam-Filter lernfähig sind. Die Rate, mit der E-Mails richtig einsortiert werden, erhöht sich also mit der Zeit. Dazu muss man jedoch den Spamfilter entsprechend trainieren und darf Spam-Mails, die nicht aussortiert worden sind, nicht einfach löschen, sondern muss sie als Spam-Mails markieren. Umgekehrt sollte man E-Mails, die fälschlicherweise im Spam-Ordner gelandet sind, nicht dort belassen, sondern von der Spam-Liste löschen. Wie aber funktionieren solche lernfähigen Spamfilter? Ein wesentliches Element der lernfähigen Spamfilter ist in den meisten Fällen der Satz von Bayes. Sie werden daher auch Bayes-Filter genannt. Im Unterricht könnte an diesem Beispiel der Satz von Bayes verdeutlicht werden. </w:t>
      </w:r>
    </w:p>
    <w:p w:rsidR="00766E6B" w:rsidRPr="00766E6B" w:rsidRDefault="00766E6B" w:rsidP="00766E6B">
      <w:pPr>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Zur Veranschaulichung soll nur ein einzelnes Wort betrachtet und entschieden werden, ob es sich bei der E-Mail, die dieses Wort enthält, um eine Spam-Mail handelt. Dann kann die Wahrscheinlichkeit, dass eine E-Mail eine Spam-Mail ist, wie folgt berechnet werden:</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position w:val="-28"/>
          <w:sz w:val="22"/>
          <w:szCs w:val="22"/>
        </w:rPr>
        <w:object w:dxaOrig="832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414.9pt;height:31.35pt" o:ole="">
            <v:imagedata r:id="rId8" o:title=""/>
          </v:shape>
          <o:OLEObject Type="Embed" ProgID="Equation.DSMT4" ShapeID="_x0000_i1055" DrawAspect="Content" ObjectID="_1814856775" r:id="rId9"/>
        </w:object>
      </w:r>
      <w:r w:rsidRPr="00766E6B">
        <w:rPr>
          <w:rFonts w:ascii="Arial" w:hAnsi="Arial"/>
          <w:sz w:val="22"/>
          <w:szCs w:val="22"/>
        </w:rPr>
        <w:t>.</w:t>
      </w:r>
    </w:p>
    <w:p w:rsidR="00766E6B" w:rsidRPr="00766E6B" w:rsidRDefault="00766E6B" w:rsidP="00766E6B">
      <w:pPr>
        <w:jc w:val="both"/>
        <w:rPr>
          <w:rFonts w:ascii="Arial" w:hAnsi="Arial"/>
          <w:sz w:val="22"/>
          <w:szCs w:val="22"/>
        </w:rPr>
      </w:pPr>
    </w:p>
    <w:p w:rsidR="00766E6B" w:rsidRPr="00766E6B" w:rsidRDefault="00766E6B" w:rsidP="00766E6B">
      <w:pPr>
        <w:jc w:val="both"/>
        <w:rPr>
          <w:rFonts w:ascii="Arial" w:hAnsi="Arial"/>
          <w:sz w:val="22"/>
          <w:szCs w:val="22"/>
        </w:rPr>
      </w:pPr>
      <w:r w:rsidRPr="00766E6B">
        <w:rPr>
          <w:rFonts w:ascii="Arial" w:hAnsi="Arial"/>
          <w:sz w:val="22"/>
          <w:szCs w:val="22"/>
        </w:rPr>
        <w:t>Dem Spamfilter wurden Wahrscheinlichkeiten für</w:t>
      </w:r>
    </w:p>
    <w:p w:rsidR="00766E6B" w:rsidRPr="00766E6B" w:rsidRDefault="00766E6B" w:rsidP="00766E6B">
      <w:pPr>
        <w:jc w:val="both"/>
        <w:rPr>
          <w:rFonts w:ascii="Arial" w:hAnsi="Arial"/>
          <w:sz w:val="22"/>
          <w:szCs w:val="22"/>
        </w:rPr>
      </w:pPr>
      <w:r w:rsidRPr="00766E6B">
        <w:rPr>
          <w:rFonts w:ascii="Arial" w:hAnsi="Arial"/>
          <w:position w:val="-28"/>
          <w:sz w:val="22"/>
          <w:szCs w:val="22"/>
        </w:rPr>
        <w:object w:dxaOrig="5020" w:dyaOrig="639">
          <v:shape id="_x0000_i1056" type="#_x0000_t75" style="width:250.95pt;height:31.35pt" o:ole="">
            <v:imagedata r:id="rId10" o:title=""/>
          </v:shape>
          <o:OLEObject Type="Embed" ProgID="Equation.DSMT4" ShapeID="_x0000_i1056" DrawAspect="Content" ObjectID="_1814856776" r:id="rId11"/>
        </w:object>
      </w:r>
      <w:r w:rsidRPr="00766E6B">
        <w:rPr>
          <w:rFonts w:ascii="Arial" w:hAnsi="Arial"/>
          <w:sz w:val="22"/>
          <w:szCs w:val="22"/>
        </w:rPr>
        <w:t xml:space="preserve"> mitgegeben. Nach der ersten Nutzung beginnt der Lernprozess. Je nachdem wie viele Spam-Mails und wie viele erwünschte E-Mails ein Nutzer erhält ändert sich die Wahrscheinlichkeiten </w:t>
      </w:r>
      <w:r w:rsidRPr="00766E6B">
        <w:rPr>
          <w:rFonts w:ascii="Arial" w:hAnsi="Arial"/>
          <w:position w:val="-10"/>
          <w:sz w:val="22"/>
          <w:szCs w:val="22"/>
        </w:rPr>
        <w:object w:dxaOrig="1600" w:dyaOrig="320">
          <v:shape id="_x0000_i1057" type="#_x0000_t75" style="width:79.85pt;height:16.4pt" o:ole="">
            <v:imagedata r:id="rId12" o:title=""/>
          </v:shape>
          <o:OLEObject Type="Embed" ProgID="Equation.DSMT4" ShapeID="_x0000_i1057" DrawAspect="Content" ObjectID="_1814856777" r:id="rId13"/>
        </w:object>
      </w:r>
      <w:r w:rsidRPr="00766E6B">
        <w:rPr>
          <w:rFonts w:ascii="Arial" w:hAnsi="Arial"/>
          <w:sz w:val="22"/>
          <w:szCs w:val="22"/>
        </w:rPr>
        <w:t xml:space="preserve">. Auch die Wahrscheinlichkeit </w:t>
      </w:r>
      <w:r w:rsidRPr="00766E6B">
        <w:rPr>
          <w:rFonts w:ascii="Arial" w:hAnsi="Arial"/>
          <w:position w:val="-10"/>
          <w:sz w:val="22"/>
          <w:szCs w:val="22"/>
        </w:rPr>
        <w:object w:dxaOrig="1800" w:dyaOrig="300">
          <v:shape id="_x0000_i1058" type="#_x0000_t75" style="width:90.55pt;height:14.95pt" o:ole="">
            <v:imagedata r:id="rId14" o:title=""/>
          </v:shape>
          <o:OLEObject Type="Embed" ProgID="Equation.DSMT4" ShapeID="_x0000_i1058" DrawAspect="Content" ObjectID="_1814856778" r:id="rId15"/>
        </w:object>
      </w:r>
      <w:r w:rsidRPr="00766E6B">
        <w:rPr>
          <w:rFonts w:ascii="Arial" w:hAnsi="Arial"/>
          <w:sz w:val="22"/>
          <w:szCs w:val="22"/>
        </w:rPr>
        <w:t xml:space="preserve"> ändert sich für bestimmte Worte. So wird dem Wort „Replika“ (meist im Zusammenhang mit dem Verkauf von Uhren mittels Spam-Mails genutzt) vom Programm zu Beginn vermutlich eine niedrige Wahrscheinlichkeit zugewiesen, dass es in einem Text vorkommt. Es handelt sich eben um ein selten genutztes Wort. Gleichzeitig wird die Wahrscheinlichkeit </w:t>
      </w:r>
      <w:r w:rsidRPr="00766E6B">
        <w:rPr>
          <w:rFonts w:ascii="Arial" w:hAnsi="Arial"/>
          <w:position w:val="-10"/>
          <w:sz w:val="22"/>
          <w:szCs w:val="22"/>
        </w:rPr>
        <w:object w:dxaOrig="3140" w:dyaOrig="320">
          <v:shape id="_x0000_i1059" type="#_x0000_t75" style="width:156.85pt;height:16.4pt" o:ole="">
            <v:imagedata r:id="rId16" o:title=""/>
          </v:shape>
          <o:OLEObject Type="Embed" ProgID="Equation.DSMT4" ShapeID="_x0000_i1059" DrawAspect="Content" ObjectID="_1814856779" r:id="rId17"/>
        </w:object>
      </w:r>
      <w:r w:rsidRPr="00766E6B">
        <w:rPr>
          <w:rFonts w:ascii="Arial" w:hAnsi="Arial"/>
          <w:sz w:val="22"/>
          <w:szCs w:val="22"/>
        </w:rPr>
        <w:t xml:space="preserve"> hoch sein, da es eben häufig in Spam-Mails auftaucht. Wenn aber die E-Mail-Adresse beispielsweise für berufliche Zwecke genutzt wird und man beruflich mit Replikaten zu tun hat, werden sich beide Wahrscheinlichkeiten vermutlich schnell ändern, sofern man den Spam-Filter entsprechend trainiert.</w:t>
      </w:r>
    </w:p>
    <w:p w:rsidR="00694A63" w:rsidRPr="005B2F65" w:rsidRDefault="00694A63" w:rsidP="00766E6B">
      <w:pPr>
        <w:jc w:val="both"/>
        <w:rPr>
          <w:sz w:val="22"/>
          <w:szCs w:val="22"/>
        </w:rPr>
      </w:pPr>
      <w:bookmarkStart w:id="0" w:name="_GoBack"/>
      <w:bookmarkEnd w:id="0"/>
    </w:p>
    <w:sectPr w:rsidR="00694A63" w:rsidRPr="005B2F65" w:rsidSect="00DB65DC">
      <w:headerReference w:type="even" r:id="rId18"/>
      <w:headerReference w:type="default" r:id="rId19"/>
      <w:footerReference w:type="even" r:id="rId20"/>
      <w:footerReference w:type="default" r:id="rId21"/>
      <w:headerReference w:type="first" r:id="rId22"/>
      <w:footerReference w:type="first" r:id="rId2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5BF2B52-F4BE-4E38-B71B-19A3307FA005}"/>
    <w:embedBold r:id="rId2" w:fontKey="{0F7FEA17-BF4C-48C5-9D2C-2C9A0DB09A0F}"/>
    <w:embedItalic r:id="rId3" w:fontKey="{89D9EDAF-79C4-4AB8-8269-682FA45D09F9}"/>
    <w:embedBoldItalic r:id="rId4" w:fontKey="{678E2058-663F-4F02-A201-DD611A9E797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66E6B"/>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3.xml"/><Relationship Id="rId10" Type="http://schemas.openxmlformats.org/officeDocument/2006/relationships/image" Target="media/image2.w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6AAB63-1D6F-483E-86F0-098E32F54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1203</Words>
  <Characters>8216</Characters>
  <Application>Microsoft Office Word</Application>
  <DocSecurity>0</DocSecurity>
  <Lines>139</Lines>
  <Paragraphs>36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2025-07-24T08:06:00Z</dcterms:created>
  <dcterms:modified xsi:type="dcterms:W3CDTF">2025-07-24T08:06:00Z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